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440" w:lineRule="exact"/>
        <w:ind w:firstLine="0" w:firstLineChars="0"/>
        <w:rPr>
          <w:rFonts w:ascii="黑体" w:hAnsi="黑体" w:cs="黑体"/>
          <w:color w:val="auto"/>
          <w:szCs w:val="32"/>
        </w:rPr>
      </w:pPr>
      <w:r>
        <w:rPr>
          <w:rFonts w:hint="eastAsia" w:ascii="黑体" w:hAnsi="黑体" w:cs="黑体"/>
          <w:color w:val="auto"/>
          <w:szCs w:val="32"/>
        </w:rPr>
        <w:t>附件</w:t>
      </w:r>
    </w:p>
    <w:p>
      <w:pPr>
        <w:pStyle w:val="12"/>
        <w:spacing w:line="440" w:lineRule="exact"/>
        <w:ind w:firstLine="0" w:firstLineChars="0"/>
        <w:jc w:val="center"/>
        <w:rPr>
          <w:rFonts w:ascii="仿宋_GB2312" w:hAnsi="仿宋_GB2312" w:eastAsia="仿宋_GB2312" w:cs="仿宋_GB2312"/>
          <w:color w:val="auto"/>
          <w:szCs w:val="32"/>
        </w:rPr>
      </w:pPr>
      <w:r>
        <w:rPr>
          <w:rFonts w:hint="eastAsia" w:ascii="方正小标宋简体" w:eastAsia="方正小标宋简体"/>
          <w:color w:val="auto"/>
          <w:sz w:val="44"/>
          <w:szCs w:val="44"/>
        </w:rPr>
        <w:t>济南市工程监理企业履职责任清单</w:t>
      </w:r>
    </w:p>
    <w:p>
      <w:pPr>
        <w:spacing w:line="440" w:lineRule="exact"/>
        <w:jc w:val="center"/>
        <w:rPr>
          <w:rFonts w:ascii="仿宋_GB2312" w:hAnsi="仿宋_GB2312" w:eastAsia="仿宋_GB2312" w:cs="仿宋_GB2312"/>
          <w:color w:val="auto"/>
          <w:sz w:val="32"/>
          <w:szCs w:val="32"/>
        </w:rPr>
      </w:pPr>
      <w:r>
        <w:rPr>
          <w:rFonts w:hint="eastAsia" w:eastAsia="方正小标宋简体"/>
          <w:bCs/>
          <w:color w:val="auto"/>
          <w:sz w:val="36"/>
          <w:szCs w:val="36"/>
        </w:rPr>
        <w:t>一、建筑市场行为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6633"/>
        <w:gridCol w:w="555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2" w:type="dxa"/>
            <w:vAlign w:val="center"/>
          </w:tcPr>
          <w:p>
            <w:pPr>
              <w:widowControl w:val="0"/>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序号</w:t>
            </w:r>
          </w:p>
        </w:tc>
        <w:tc>
          <w:tcPr>
            <w:tcW w:w="6633" w:type="dxa"/>
          </w:tcPr>
          <w:p>
            <w:pPr>
              <w:widowControl w:val="0"/>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责任清单</w:t>
            </w:r>
          </w:p>
        </w:tc>
        <w:tc>
          <w:tcPr>
            <w:tcW w:w="5557" w:type="dxa"/>
          </w:tcPr>
          <w:p>
            <w:pPr>
              <w:widowControl w:val="0"/>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法律、法规、规章、制度、规范等依据</w:t>
            </w:r>
          </w:p>
        </w:tc>
        <w:tc>
          <w:tcPr>
            <w:tcW w:w="1230" w:type="dxa"/>
          </w:tcPr>
          <w:p>
            <w:pPr>
              <w:widowControl w:val="0"/>
              <w:spacing w:line="580" w:lineRule="exact"/>
              <w:jc w:val="center"/>
              <w:rPr>
                <w:rFonts w:ascii="黑体" w:hAnsi="黑体" w:eastAsia="黑体" w:cs="黑体"/>
                <w:color w:val="auto"/>
                <w:sz w:val="24"/>
              </w:rPr>
            </w:pPr>
            <w:r>
              <w:rPr>
                <w:rFonts w:hint="eastAsia" w:ascii="黑体" w:hAnsi="黑体" w:eastAsia="黑体" w:cs="黑体"/>
                <w:color w:val="auto"/>
                <w:sz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w:t>
            </w:r>
          </w:p>
        </w:tc>
        <w:tc>
          <w:tcPr>
            <w:tcW w:w="6633"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监理单位应当按照核准的资质等级承接工程建设监理业务并与委托单位签订监理委托合同。</w:t>
            </w:r>
          </w:p>
        </w:tc>
        <w:tc>
          <w:tcPr>
            <w:tcW w:w="5557"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《建筑法》第三十一条、第三十四条；《建设工程质量管理条例》第十二条</w:t>
            </w:r>
          </w:p>
        </w:tc>
        <w:tc>
          <w:tcPr>
            <w:tcW w:w="1230"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2</w:t>
            </w:r>
          </w:p>
        </w:tc>
        <w:tc>
          <w:tcPr>
            <w:tcW w:w="6633"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监理单位应对项目总监理工程师做出书面任命，由总监理工程师组建项目监理机构并代表监理单位全权负责履行委托监理合同中所确定的监理任务。</w:t>
            </w:r>
          </w:p>
        </w:tc>
        <w:tc>
          <w:tcPr>
            <w:tcW w:w="5557"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《建设工程质量管理条例》第三十七条、《建设工程监理规范》3</w:t>
            </w:r>
            <w:r>
              <w:rPr>
                <w:rFonts w:ascii="仿宋_GB2312" w:hAnsi="仿宋_GB2312" w:eastAsia="仿宋_GB2312" w:cs="仿宋_GB2312"/>
                <w:color w:val="auto"/>
                <w:spacing w:val="-20"/>
                <w:sz w:val="28"/>
                <w:szCs w:val="28"/>
              </w:rPr>
              <w:t>.1.3</w:t>
            </w:r>
          </w:p>
        </w:tc>
        <w:tc>
          <w:tcPr>
            <w:tcW w:w="1230"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3</w:t>
            </w:r>
          </w:p>
        </w:tc>
        <w:tc>
          <w:tcPr>
            <w:tcW w:w="6633"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项目监理机构应按与建设项目规模相符、专业配套、符合《建设工程监理规范》要求配备相关监理人员。</w:t>
            </w:r>
          </w:p>
        </w:tc>
        <w:tc>
          <w:tcPr>
            <w:tcW w:w="5557"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《建设工程质量管理条例》第十三条；《建设工程监理规范》3</w:t>
            </w:r>
            <w:r>
              <w:rPr>
                <w:rFonts w:ascii="仿宋_GB2312" w:hAnsi="仿宋_GB2312" w:eastAsia="仿宋_GB2312" w:cs="仿宋_GB2312"/>
                <w:color w:val="auto"/>
                <w:spacing w:val="-20"/>
                <w:sz w:val="28"/>
                <w:szCs w:val="28"/>
              </w:rPr>
              <w:t>.1.2</w:t>
            </w:r>
          </w:p>
        </w:tc>
        <w:tc>
          <w:tcPr>
            <w:tcW w:w="1230"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4</w:t>
            </w:r>
          </w:p>
        </w:tc>
        <w:tc>
          <w:tcPr>
            <w:tcW w:w="6633" w:type="dxa"/>
            <w:vAlign w:val="center"/>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总监理工程师的任职资格应符合国家有关规定和《建设工程监理规范》要求；总监理工程师应依法依规履行总监职责，落实实名制考勤，保证每月到岗不少于工作日天数。</w:t>
            </w:r>
          </w:p>
        </w:tc>
        <w:tc>
          <w:tcPr>
            <w:tcW w:w="5557"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《建设工程质量管理条例》第三十七条；《济南市房屋建筑和市政基础设施工程监理、施工单位从业人员信息动态管理细则》（济建建管字〔2020〕16 号）第四条</w:t>
            </w:r>
          </w:p>
        </w:tc>
        <w:tc>
          <w:tcPr>
            <w:tcW w:w="1230"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5</w:t>
            </w:r>
          </w:p>
        </w:tc>
        <w:tc>
          <w:tcPr>
            <w:tcW w:w="6633"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监理单位不得参与未办理工程质量安全监督手续或施工许可证的工程建设。</w:t>
            </w:r>
          </w:p>
        </w:tc>
        <w:tc>
          <w:tcPr>
            <w:tcW w:w="5557" w:type="dxa"/>
            <w:vAlign w:val="center"/>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《建设工程质量管理条例》第十三条；《山东省房屋建筑和市政工程质量监督管理办法 》第五十条</w:t>
            </w:r>
          </w:p>
        </w:tc>
        <w:tc>
          <w:tcPr>
            <w:tcW w:w="1230"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6</w:t>
            </w:r>
          </w:p>
        </w:tc>
        <w:tc>
          <w:tcPr>
            <w:tcW w:w="6633"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监理单位不得擅自变更总监理工程师，</w:t>
            </w:r>
            <w:r>
              <w:rPr>
                <w:rFonts w:ascii="仿宋_GB2312" w:hAnsi="仿宋_GB2312" w:eastAsia="仿宋_GB2312" w:cs="仿宋_GB2312"/>
                <w:color w:val="auto"/>
                <w:spacing w:val="-20"/>
                <w:sz w:val="28"/>
                <w:szCs w:val="28"/>
              </w:rPr>
              <w:t>确需变更的，需经建设单位同意并报住房城乡建设主管部门备案</w:t>
            </w:r>
            <w:r>
              <w:rPr>
                <w:rFonts w:hint="eastAsia" w:ascii="仿宋_GB2312" w:hAnsi="仿宋_GB2312" w:eastAsia="仿宋_GB2312" w:cs="仿宋_GB2312"/>
                <w:color w:val="auto"/>
                <w:spacing w:val="-20"/>
                <w:sz w:val="28"/>
                <w:szCs w:val="28"/>
              </w:rPr>
              <w:t>。</w:t>
            </w:r>
          </w:p>
        </w:tc>
        <w:tc>
          <w:tcPr>
            <w:tcW w:w="5557" w:type="dxa"/>
            <w:vAlign w:val="center"/>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《山东省房屋建筑和市政工程质量监督管理办法》第二十二条、第五十条</w:t>
            </w:r>
          </w:p>
        </w:tc>
        <w:tc>
          <w:tcPr>
            <w:tcW w:w="1230" w:type="dxa"/>
            <w:vAlign w:val="center"/>
          </w:tcPr>
          <w:p>
            <w:pPr>
              <w:widowControl w:val="0"/>
              <w:snapToGrid/>
              <w:spacing w:line="5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7</w:t>
            </w:r>
          </w:p>
        </w:tc>
        <w:tc>
          <w:tcPr>
            <w:tcW w:w="6633" w:type="dxa"/>
            <w:vAlign w:val="center"/>
          </w:tcPr>
          <w:p>
            <w:pPr>
              <w:widowControl w:val="0"/>
              <w:snapToGrid/>
              <w:spacing w:line="540" w:lineRule="exact"/>
              <w:jc w:val="both"/>
              <w:rPr>
                <w:rFonts w:ascii="仿宋_GB2312" w:hAnsi="仿宋_GB2312" w:eastAsia="仿宋_GB2312" w:cs="仿宋_GB2312"/>
                <w:color w:val="auto"/>
                <w:spacing w:val="-20"/>
                <w:sz w:val="28"/>
                <w:szCs w:val="28"/>
              </w:rPr>
            </w:pPr>
            <w:r>
              <w:rPr>
                <w:rFonts w:ascii="仿宋_GB2312" w:hAnsi="仿宋_GB2312" w:eastAsia="仿宋_GB2312" w:cs="仿宋_GB2312"/>
                <w:color w:val="auto"/>
                <w:spacing w:val="-20"/>
                <w:sz w:val="28"/>
                <w:szCs w:val="28"/>
              </w:rPr>
              <w:t>工程监理单位</w:t>
            </w:r>
            <w:r>
              <w:rPr>
                <w:rFonts w:hint="eastAsia" w:ascii="仿宋_GB2312" w:hAnsi="仿宋_GB2312" w:eastAsia="仿宋_GB2312" w:cs="仿宋_GB2312"/>
                <w:color w:val="auto"/>
                <w:spacing w:val="-20"/>
                <w:sz w:val="28"/>
                <w:szCs w:val="28"/>
              </w:rPr>
              <w:t>不得</w:t>
            </w:r>
            <w:r>
              <w:rPr>
                <w:rFonts w:ascii="仿宋_GB2312" w:hAnsi="仿宋_GB2312" w:eastAsia="仿宋_GB2312" w:cs="仿宋_GB2312"/>
                <w:color w:val="auto"/>
                <w:spacing w:val="-20"/>
                <w:sz w:val="28"/>
                <w:szCs w:val="28"/>
              </w:rPr>
              <w:t>与被监理工程的承包单位以及建筑材料、建筑构配件和设备供应单位有隶属关系或者其他利害关系</w:t>
            </w:r>
            <w:r>
              <w:rPr>
                <w:rFonts w:hint="eastAsia" w:ascii="仿宋_GB2312" w:hAnsi="仿宋_GB2312" w:eastAsia="仿宋_GB2312" w:cs="仿宋_GB2312"/>
                <w:color w:val="auto"/>
                <w:spacing w:val="-20"/>
                <w:sz w:val="28"/>
                <w:szCs w:val="28"/>
              </w:rPr>
              <w:t>。</w:t>
            </w:r>
          </w:p>
        </w:tc>
        <w:tc>
          <w:tcPr>
            <w:tcW w:w="5557" w:type="dxa"/>
            <w:vAlign w:val="center"/>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《建筑法》第三十四条</w:t>
            </w:r>
          </w:p>
        </w:tc>
        <w:tc>
          <w:tcPr>
            <w:tcW w:w="1230" w:type="dxa"/>
            <w:vAlign w:val="center"/>
          </w:tcPr>
          <w:p>
            <w:pPr>
              <w:widowControl w:val="0"/>
              <w:snapToGrid/>
              <w:spacing w:line="5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8</w:t>
            </w:r>
          </w:p>
        </w:tc>
        <w:tc>
          <w:tcPr>
            <w:tcW w:w="6633" w:type="dxa"/>
          </w:tcPr>
          <w:p>
            <w:pPr>
              <w:widowControl w:val="0"/>
              <w:snapToGrid/>
              <w:spacing w:line="540" w:lineRule="exact"/>
              <w:jc w:val="both"/>
              <w:rPr>
                <w:rFonts w:ascii="仿宋_GB2312" w:hAnsi="仿宋_GB2312" w:eastAsia="仿宋_GB2312" w:cs="仿宋_GB2312"/>
                <w:color w:val="auto"/>
                <w:spacing w:val="-20"/>
                <w:sz w:val="28"/>
                <w:szCs w:val="28"/>
              </w:rPr>
            </w:pPr>
            <w:r>
              <w:rPr>
                <w:rFonts w:ascii="仿宋_GB2312" w:hAnsi="仿宋_GB2312" w:eastAsia="仿宋_GB2312" w:cs="仿宋_GB2312"/>
                <w:color w:val="auto"/>
                <w:spacing w:val="-20"/>
                <w:sz w:val="28"/>
                <w:szCs w:val="28"/>
              </w:rPr>
              <w:t>监理企业不得签署虚假审查或者验收意见，不得由他人代替总监理工程师、专业监理工程师签署审查或者验收意见</w:t>
            </w:r>
            <w:r>
              <w:rPr>
                <w:rFonts w:hint="eastAsia" w:ascii="仿宋_GB2312" w:hAnsi="仿宋_GB2312" w:eastAsia="仿宋_GB2312" w:cs="仿宋_GB2312"/>
                <w:color w:val="auto"/>
                <w:spacing w:val="-20"/>
                <w:sz w:val="28"/>
                <w:szCs w:val="28"/>
              </w:rPr>
              <w:t>。</w:t>
            </w:r>
          </w:p>
        </w:tc>
        <w:tc>
          <w:tcPr>
            <w:tcW w:w="5557" w:type="dxa"/>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《山东省房屋建筑和市政工程质量监督管理办法》第二十三条</w:t>
            </w:r>
          </w:p>
        </w:tc>
        <w:tc>
          <w:tcPr>
            <w:tcW w:w="1230" w:type="dxa"/>
            <w:vAlign w:val="center"/>
          </w:tcPr>
          <w:p>
            <w:pPr>
              <w:widowControl w:val="0"/>
              <w:snapToGrid/>
              <w:spacing w:line="5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widowControl w:val="0"/>
              <w:snapToGrid/>
              <w:spacing w:line="540" w:lineRule="exact"/>
              <w:jc w:val="center"/>
              <w:rPr>
                <w:rFonts w:ascii="黑体" w:hAnsi="黑体" w:eastAsia="黑体" w:cs="黑体"/>
                <w:color w:val="auto"/>
                <w:sz w:val="24"/>
              </w:rPr>
            </w:pPr>
            <w:r>
              <w:rPr>
                <w:rFonts w:hint="eastAsia" w:ascii="仿宋_GB2312" w:hAnsi="仿宋_GB2312" w:eastAsia="仿宋_GB2312" w:cs="仿宋_GB2312"/>
                <w:color w:val="auto"/>
                <w:spacing w:val="-20"/>
                <w:sz w:val="28"/>
                <w:szCs w:val="28"/>
              </w:rPr>
              <w:t>9</w:t>
            </w:r>
          </w:p>
        </w:tc>
        <w:tc>
          <w:tcPr>
            <w:tcW w:w="6633" w:type="dxa"/>
          </w:tcPr>
          <w:p>
            <w:pPr>
              <w:widowControl w:val="0"/>
              <w:snapToGrid/>
              <w:spacing w:line="540" w:lineRule="exact"/>
              <w:jc w:val="left"/>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当监理单位发现建设单位任意压缩合理工期可能造成严重质量隐患或重大安全隐患，应予以制止；建设单位拒不采纳监理意见，应向工程所在地住房城乡建设主管部门报告。</w:t>
            </w:r>
          </w:p>
        </w:tc>
        <w:tc>
          <w:tcPr>
            <w:tcW w:w="5557" w:type="dxa"/>
            <w:vAlign w:val="center"/>
          </w:tcPr>
          <w:p>
            <w:pPr>
              <w:widowControl w:val="0"/>
              <w:snapToGrid/>
              <w:spacing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《建设工程质量管理条例》第五十六条</w:t>
            </w:r>
          </w:p>
        </w:tc>
        <w:tc>
          <w:tcPr>
            <w:tcW w:w="1230" w:type="dxa"/>
            <w:vAlign w:val="center"/>
          </w:tcPr>
          <w:p>
            <w:pPr>
              <w:widowControl w:val="0"/>
              <w:snapToGrid/>
              <w:spacing w:line="540" w:lineRule="exact"/>
              <w:jc w:val="center"/>
              <w:rPr>
                <w:rFonts w:ascii="黑体" w:hAnsi="黑体" w:eastAsia="黑体" w:cs="黑体"/>
                <w:color w:val="auto"/>
                <w:sz w:val="24"/>
              </w:rPr>
            </w:pPr>
            <w:r>
              <w:rPr>
                <w:rFonts w:hint="eastAsia" w:ascii="Times New Roman" w:hAnsi="Times New Roman"/>
                <w:color w:val="auto"/>
                <w:szCs w:val="21"/>
              </w:rPr>
              <w:t>是□否□</w:t>
            </w:r>
          </w:p>
        </w:tc>
      </w:tr>
    </w:tbl>
    <w:p>
      <w:pPr>
        <w:spacing w:line="580" w:lineRule="exact"/>
        <w:rPr>
          <w:rFonts w:ascii="仿宋_GB2312" w:hAnsi="仿宋_GB2312" w:eastAsia="仿宋_GB2312" w:cs="仿宋_GB2312"/>
          <w:color w:val="auto"/>
          <w:spacing w:val="-20"/>
          <w:sz w:val="28"/>
          <w:szCs w:val="28"/>
        </w:rPr>
        <w:sectPr>
          <w:footerReference r:id="rId4" w:type="default"/>
          <w:pgSz w:w="16838" w:h="11906" w:orient="landscape"/>
          <w:pgMar w:top="1701" w:right="1440" w:bottom="1701" w:left="1440" w:header="851" w:footer="992" w:gutter="0"/>
          <w:pgNumType w:fmt="numberInDash"/>
          <w:cols w:space="425" w:num="1"/>
          <w:docGrid w:type="lines" w:linePitch="312" w:charSpace="0"/>
        </w:sectPr>
      </w:pPr>
    </w:p>
    <w:p>
      <w:pPr>
        <w:numPr>
          <w:ilvl w:val="0"/>
          <w:numId w:val="1"/>
        </w:numPr>
        <w:spacing w:line="520" w:lineRule="exact"/>
        <w:jc w:val="center"/>
        <w:rPr>
          <w:rFonts w:eastAsia="方正小标宋简体"/>
          <w:bCs/>
          <w:color w:val="auto"/>
          <w:sz w:val="36"/>
          <w:szCs w:val="36"/>
        </w:rPr>
      </w:pPr>
      <w:r>
        <w:rPr>
          <w:rFonts w:hint="eastAsia" w:eastAsia="方正小标宋简体"/>
          <w:bCs/>
          <w:color w:val="auto"/>
          <w:sz w:val="36"/>
          <w:szCs w:val="36"/>
        </w:rPr>
        <w:t>质量监理行为</w:t>
      </w:r>
    </w:p>
    <w:tbl>
      <w:tblPr>
        <w:tblStyle w:val="8"/>
        <w:tblW w:w="51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238"/>
        <w:gridCol w:w="492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after="0" w:line="50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序号</w:t>
            </w:r>
          </w:p>
        </w:tc>
        <w:tc>
          <w:tcPr>
            <w:tcW w:w="2347" w:type="pct"/>
          </w:tcPr>
          <w:p>
            <w:pPr>
              <w:widowControl/>
              <w:spacing w:after="0" w:line="50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责任清单</w:t>
            </w:r>
          </w:p>
        </w:tc>
        <w:tc>
          <w:tcPr>
            <w:tcW w:w="1853" w:type="pct"/>
          </w:tcPr>
          <w:p>
            <w:pPr>
              <w:widowControl/>
              <w:spacing w:after="0" w:line="50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法律、法规、规章、制度、规范等依据</w:t>
            </w:r>
          </w:p>
        </w:tc>
        <w:tc>
          <w:tcPr>
            <w:tcW w:w="543" w:type="pct"/>
          </w:tcPr>
          <w:p>
            <w:pPr>
              <w:widowControl/>
              <w:spacing w:after="0" w:line="500" w:lineRule="exact"/>
              <w:jc w:val="center"/>
              <w:rPr>
                <w:rFonts w:ascii="黑体" w:hAnsi="黑体" w:eastAsia="黑体" w:cs="黑体"/>
                <w:color w:val="auto"/>
                <w:sz w:val="24"/>
              </w:rPr>
            </w:pPr>
            <w:r>
              <w:rPr>
                <w:rFonts w:hint="eastAsia" w:ascii="黑体" w:hAnsi="黑体" w:eastAsia="黑体" w:cs="黑体"/>
                <w:color w:val="auto"/>
                <w:sz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项目监理机构应按规定编制监理规划和监理实施细则。</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《建设工程监理规范》4</w:t>
            </w:r>
            <w:r>
              <w:rPr>
                <w:rFonts w:ascii="仿宋_GB2312" w:hAnsi="仿宋_GB2312" w:eastAsia="仿宋_GB2312" w:cs="仿宋_GB2312"/>
                <w:color w:val="auto"/>
                <w:spacing w:val="-20"/>
                <w:sz w:val="28"/>
                <w:szCs w:val="28"/>
              </w:rPr>
              <w:t>.1.1</w:t>
            </w:r>
            <w:r>
              <w:rPr>
                <w:rFonts w:hint="eastAsia" w:ascii="仿宋_GB2312" w:hAnsi="仿宋_GB2312" w:eastAsia="仿宋_GB2312" w:cs="仿宋_GB2312"/>
                <w:color w:val="auto"/>
                <w:spacing w:val="-20"/>
                <w:sz w:val="28"/>
                <w:szCs w:val="28"/>
              </w:rPr>
              <w:t>、</w:t>
            </w:r>
            <w:r>
              <w:rPr>
                <w:rFonts w:ascii="仿宋_GB2312" w:hAnsi="仿宋_GB2312" w:eastAsia="仿宋_GB2312" w:cs="仿宋_GB2312"/>
                <w:color w:val="auto"/>
                <w:spacing w:val="-20"/>
                <w:sz w:val="28"/>
                <w:szCs w:val="28"/>
              </w:rPr>
              <w:t>4.1.2</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2</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项目监理机构应按要求参加由建设单位组织召开的第一次工地例会，定期组织召开监理例会，并形成会议纪要。</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.1.3</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3</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项目监理机构应组织检查施工单位现场质量管理体系的建立及运行情况。</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.2.1</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4</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项目监理机构应参加建设单位主持的图纸会审和设计交底会议，总监理工程师对设计交底和图纸会审纪要审查签认。</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.1.2</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5</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审查施工单位报审的施工组织设计，符合要求时，应由总监理工程师签认后报建设单位。项目监理机构应要求施工单位按已批准的施工组织设计组织施工。施工组织设计需要调整时，项目监理机构应按程序重新审查。</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.1.6</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6</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项目监理机构对分包单位资格进行审核和签认。</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.1.10</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7</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项目监理机构应对承包单位的施工测量放线成果及保护措施进行检查和签认。</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.2.5</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8</w:t>
            </w:r>
          </w:p>
        </w:tc>
        <w:tc>
          <w:tcPr>
            <w:tcW w:w="2347" w:type="pct"/>
            <w:vAlign w:val="center"/>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项目监理机构应按规定对工程施工质量进行巡视并进行记录；对工程关键部位、关键工序施工过程进行旁站，并及时填写旁站记录。</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《建设工程质量管理条例》第三十八条、《山东省房屋建筑和市政工程质量监督管理办法》第二十三条、《建设工程监理规范》5</w:t>
            </w:r>
            <w:r>
              <w:rPr>
                <w:rFonts w:ascii="仿宋_GB2312" w:hAnsi="仿宋_GB2312" w:eastAsia="仿宋_GB2312" w:cs="仿宋_GB2312"/>
                <w:color w:val="auto"/>
                <w:spacing w:val="-20"/>
                <w:sz w:val="28"/>
                <w:szCs w:val="28"/>
              </w:rPr>
              <w:t>.2.11</w:t>
            </w:r>
            <w:r>
              <w:rPr>
                <w:rFonts w:hint="eastAsia" w:ascii="仿宋_GB2312" w:hAnsi="仿宋_GB2312" w:eastAsia="仿宋_GB2312" w:cs="仿宋_GB2312"/>
                <w:color w:val="auto"/>
                <w:spacing w:val="-20"/>
                <w:sz w:val="28"/>
                <w:szCs w:val="28"/>
              </w:rPr>
              <w:t>-12</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9</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专业监理工程师应对工程材料、构配件、设备报审及质量证明资料进行审核并签认，及时对存在的质量缺陷下达监理通知单。</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.2.9</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10</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专业监理工程师应对隐蔽工程进行验收和签认，监理员应按要求进行见证取样送检，项目监理机构应及时验收或签认检验批、分项工程、分部工程。</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.2.14</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11</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总监理工程师应按规定审批开工、复工报审表和工程款支付证书。</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.1.8</w:t>
            </w:r>
            <w:r>
              <w:rPr>
                <w:rFonts w:hint="eastAsia" w:ascii="仿宋_GB2312" w:hAnsi="仿宋_GB2312" w:eastAsia="仿宋_GB2312" w:cs="仿宋_GB2312"/>
                <w:color w:val="auto"/>
                <w:spacing w:val="-20"/>
                <w:sz w:val="28"/>
                <w:szCs w:val="28"/>
              </w:rPr>
              <w:t>、</w:t>
            </w:r>
            <w:r>
              <w:rPr>
                <w:rFonts w:ascii="仿宋_GB2312" w:hAnsi="仿宋_GB2312" w:eastAsia="仿宋_GB2312" w:cs="仿宋_GB2312"/>
                <w:color w:val="auto"/>
                <w:spacing w:val="-20"/>
                <w:sz w:val="28"/>
                <w:szCs w:val="28"/>
              </w:rPr>
              <w:t>5.3.1</w:t>
            </w:r>
            <w:r>
              <w:rPr>
                <w:rFonts w:hint="eastAsia" w:ascii="仿宋_GB2312" w:hAnsi="仿宋_GB2312" w:eastAsia="仿宋_GB2312" w:cs="仿宋_GB2312"/>
                <w:color w:val="auto"/>
                <w:spacing w:val="-20"/>
                <w:sz w:val="28"/>
                <w:szCs w:val="28"/>
              </w:rPr>
              <w:t>、</w:t>
            </w:r>
            <w:r>
              <w:rPr>
                <w:rFonts w:ascii="仿宋_GB2312" w:hAnsi="仿宋_GB2312" w:eastAsia="仿宋_GB2312" w:cs="仿宋_GB2312"/>
                <w:color w:val="auto"/>
                <w:spacing w:val="-20"/>
                <w:sz w:val="28"/>
                <w:szCs w:val="28"/>
              </w:rPr>
              <w:t>6.2.7</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12</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总监理工程师对存在重大质量隐患或发生质量事故应及时下达工程暂停令；对需要返工处理或加固补强的质量事故的处理过程和结果按要求跟踪检查及验收。</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《建设工程安全生产管理条例》第十四条；《建设工程监理规范》5</w:t>
            </w:r>
            <w:r>
              <w:rPr>
                <w:rFonts w:ascii="仿宋_GB2312" w:hAnsi="仿宋_GB2312" w:eastAsia="仿宋_GB2312" w:cs="仿宋_GB2312"/>
                <w:color w:val="auto"/>
                <w:spacing w:val="-20"/>
                <w:sz w:val="28"/>
                <w:szCs w:val="28"/>
              </w:rPr>
              <w:t>.2.16</w:t>
            </w:r>
            <w:r>
              <w:rPr>
                <w:rFonts w:hint="eastAsia" w:ascii="仿宋_GB2312" w:hAnsi="仿宋_GB2312" w:eastAsia="仿宋_GB2312" w:cs="仿宋_GB2312"/>
                <w:color w:val="auto"/>
                <w:spacing w:val="-20"/>
                <w:sz w:val="28"/>
                <w:szCs w:val="28"/>
              </w:rPr>
              <w:t>、</w:t>
            </w:r>
            <w:r>
              <w:rPr>
                <w:rFonts w:ascii="仿宋_GB2312" w:hAnsi="仿宋_GB2312" w:eastAsia="仿宋_GB2312" w:cs="仿宋_GB2312"/>
                <w:color w:val="auto"/>
                <w:spacing w:val="-20"/>
                <w:sz w:val="28"/>
                <w:szCs w:val="28"/>
              </w:rPr>
              <w:t>6.2.2</w:t>
            </w:r>
          </w:p>
        </w:tc>
        <w:tc>
          <w:tcPr>
            <w:tcW w:w="543"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13</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项目监理机构应按要求编制监理日志、监理月报。</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《建设工程监理规范》7</w:t>
            </w:r>
            <w:r>
              <w:rPr>
                <w:rFonts w:ascii="仿宋_GB2312" w:hAnsi="仿宋_GB2312" w:eastAsia="仿宋_GB2312" w:cs="仿宋_GB2312"/>
                <w:color w:val="auto"/>
                <w:spacing w:val="-20"/>
                <w:sz w:val="28"/>
                <w:szCs w:val="28"/>
              </w:rPr>
              <w:t>.2.1</w:t>
            </w:r>
          </w:p>
        </w:tc>
        <w:tc>
          <w:tcPr>
            <w:tcW w:w="543" w:type="pct"/>
            <w:vAlign w:val="center"/>
          </w:tcPr>
          <w:p>
            <w:pPr>
              <w:widowControl/>
              <w:spacing w:after="0" w:line="500" w:lineRule="exact"/>
              <w:jc w:val="center"/>
              <w:rPr>
                <w:rFonts w:ascii="仿宋_GB2312" w:hAnsi="仿宋_GB2312" w:cs="仿宋_GB2312"/>
                <w:color w:val="auto"/>
                <w:spacing w:val="-20"/>
                <w:sz w:val="28"/>
                <w:szCs w:val="28"/>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after="0" w:line="50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14</w:t>
            </w:r>
          </w:p>
        </w:tc>
        <w:tc>
          <w:tcPr>
            <w:tcW w:w="2347" w:type="pct"/>
          </w:tcPr>
          <w:p>
            <w:pPr>
              <w:widowControl/>
              <w:spacing w:after="0" w:line="500" w:lineRule="exact"/>
              <w:jc w:val="both"/>
              <w:rPr>
                <w:rFonts w:ascii="仿宋_GB2312" w:hAnsi="仿宋_GB2312" w:eastAsia="仿宋_GB2312" w:cs="仿宋_GB2312"/>
                <w:color w:val="auto"/>
                <w:spacing w:val="-20"/>
                <w:sz w:val="28"/>
                <w:szCs w:val="28"/>
              </w:rPr>
            </w:pPr>
            <w:r>
              <w:rPr>
                <w:rFonts w:ascii="仿宋_GB2312" w:hAnsi="仿宋_GB2312" w:eastAsia="仿宋_GB2312" w:cs="仿宋_GB2312"/>
                <w:color w:val="auto"/>
                <w:spacing w:val="-20"/>
                <w:sz w:val="28"/>
                <w:szCs w:val="28"/>
              </w:rPr>
              <w:t>监理企业发现存在工程质量问题的，应当及时签发监理文件要求施工企业整改，并报告建设单位。涉及工程结构安全和主要使用功能的工程质量问题，施工单位拒不整改的，监理企业应当及时向住房城乡建设主管部门报告。</w:t>
            </w:r>
          </w:p>
        </w:tc>
        <w:tc>
          <w:tcPr>
            <w:tcW w:w="1853" w:type="pct"/>
          </w:tcPr>
          <w:p>
            <w:pPr>
              <w:widowControl/>
              <w:spacing w:after="0" w:line="50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《山东省房屋建筑和市政工程质量监督管理办法》第二十四条</w:t>
            </w:r>
          </w:p>
        </w:tc>
        <w:tc>
          <w:tcPr>
            <w:tcW w:w="543" w:type="pct"/>
            <w:vAlign w:val="center"/>
          </w:tcPr>
          <w:p>
            <w:pPr>
              <w:widowControl/>
              <w:spacing w:after="0" w:line="5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bl>
    <w:p>
      <w:pPr>
        <w:spacing w:line="580" w:lineRule="exact"/>
        <w:jc w:val="both"/>
        <w:rPr>
          <w:rFonts w:eastAsia="方正小标宋简体"/>
          <w:bCs/>
          <w:color w:val="auto"/>
          <w:sz w:val="36"/>
          <w:szCs w:val="36"/>
        </w:rPr>
      </w:pPr>
    </w:p>
    <w:p>
      <w:pPr>
        <w:spacing w:line="580" w:lineRule="exact"/>
        <w:jc w:val="center"/>
        <w:rPr>
          <w:rFonts w:ascii="仿宋_GB2312" w:hAnsi="仿宋_GB2312" w:eastAsia="仿宋_GB2312" w:cs="仿宋_GB2312"/>
          <w:color w:val="auto"/>
          <w:sz w:val="32"/>
          <w:szCs w:val="32"/>
        </w:rPr>
      </w:pPr>
      <w:r>
        <w:rPr>
          <w:rFonts w:hint="eastAsia" w:eastAsia="方正小标宋简体"/>
          <w:bCs/>
          <w:color w:val="auto"/>
          <w:sz w:val="36"/>
          <w:szCs w:val="36"/>
        </w:rPr>
        <w:t>三、安全监理行为</w:t>
      </w:r>
    </w:p>
    <w:tbl>
      <w:tblPr>
        <w:tblStyle w:val="8"/>
        <w:tblW w:w="51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6537"/>
        <w:gridCol w:w="462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val="0"/>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序号</w:t>
            </w:r>
          </w:p>
        </w:tc>
        <w:tc>
          <w:tcPr>
            <w:tcW w:w="2451" w:type="pct"/>
          </w:tcPr>
          <w:p>
            <w:pPr>
              <w:widowControl w:val="0"/>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责任清单</w:t>
            </w:r>
          </w:p>
        </w:tc>
        <w:tc>
          <w:tcPr>
            <w:tcW w:w="1733" w:type="pct"/>
          </w:tcPr>
          <w:p>
            <w:pPr>
              <w:widowControl w:val="0"/>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24"/>
              </w:rPr>
              <w:t>法律、法规、规章、制度、规范等依据</w:t>
            </w:r>
          </w:p>
        </w:tc>
        <w:tc>
          <w:tcPr>
            <w:tcW w:w="558" w:type="pct"/>
          </w:tcPr>
          <w:p>
            <w:pPr>
              <w:widowControl w:val="0"/>
              <w:spacing w:line="580" w:lineRule="exact"/>
              <w:jc w:val="center"/>
              <w:rPr>
                <w:rFonts w:ascii="黑体" w:hAnsi="黑体" w:eastAsia="黑体" w:cs="黑体"/>
                <w:color w:val="auto"/>
                <w:sz w:val="24"/>
              </w:rPr>
            </w:pPr>
            <w:r>
              <w:rPr>
                <w:rFonts w:hint="eastAsia" w:ascii="黑体" w:hAnsi="黑体" w:eastAsia="黑体" w:cs="黑体"/>
                <w:color w:val="auto"/>
                <w:sz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pacing w:val="-20"/>
                <w:sz w:val="28"/>
                <w:szCs w:val="28"/>
              </w:rPr>
              <w:t>1</w:t>
            </w:r>
          </w:p>
        </w:tc>
        <w:tc>
          <w:tcPr>
            <w:tcW w:w="2451" w:type="pct"/>
            <w:vAlign w:val="center"/>
          </w:tcPr>
          <w:p>
            <w:pPr>
              <w:widowControl/>
              <w:spacing w:line="460" w:lineRule="exact"/>
              <w:jc w:val="both"/>
              <w:rPr>
                <w:rFonts w:ascii="黑体" w:hAnsi="黑体" w:eastAsia="黑体" w:cs="黑体"/>
                <w:color w:val="auto"/>
                <w:sz w:val="24"/>
              </w:rPr>
            </w:pPr>
            <w:r>
              <w:rPr>
                <w:rFonts w:hint="eastAsia" w:ascii="仿宋_GB2312" w:hAnsi="仿宋_GB2312" w:eastAsia="仿宋_GB2312" w:cs="仿宋_GB2312"/>
                <w:color w:val="auto"/>
                <w:spacing w:val="-20"/>
                <w:sz w:val="28"/>
                <w:szCs w:val="28"/>
              </w:rPr>
              <w:t>项目监理机构应将安全生产管理纳入监理规划，按规定编制危大工程监理实施细则，建立安全生产管理的监理工作体系，制定项目安全生产管理的监理工作制度。</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《危险性较大的分部分项工程安全管理规定》第十八条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2</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项目监理机构组织检查施工单位现场安全生产管理体系的建立及运行情况。</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.5.2</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3</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项目监理机构应严格督促施工单位落实危大工程管理责任、危大工程清单管理、专项施工方案编制及论证、现场安全管理等制度。</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《危险性较大的分部分项工程安全管理规定》第七条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4</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项目监理机构按规定审查施工组织设计中的安全技术措施、专项施工方案。</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《建设工程安全生产管理条例》第十四条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5</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项目监理机构按规定审核各相关单位资质、安全生产许可证、安全管理人员安全生产考核合格证书和特种作业人员操作资格证书并做好记录。</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.5.2</w:t>
            </w:r>
            <w:r>
              <w:rPr>
                <w:rFonts w:hint="eastAsia" w:ascii="仿宋_GB2312" w:hAnsi="仿宋_GB2312" w:eastAsia="仿宋_GB2312" w:cs="仿宋_GB2312"/>
                <w:color w:val="auto"/>
                <w:spacing w:val="-20"/>
                <w:sz w:val="28"/>
                <w:szCs w:val="28"/>
              </w:rPr>
              <w:t>、关于印发《建筑施工企业安全生产许可证动态监管暂行办法》的通知建质[2008]121号第五条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6</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项目监理机构应审核危大工程施工方案，参加方案论证；按规定对危大工程进行巡视检查，进行验收并建立危大工程安全管理档案。</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《危险性较大的分部分项工程安全管理规定》第十八条、第二十一条、第二十四条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7</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项目监理机构应定期开展安全专项检查，做好记录并督促整改。</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《建设工程监理规范》5</w:t>
            </w:r>
            <w:r>
              <w:rPr>
                <w:rFonts w:ascii="仿宋_GB2312" w:hAnsi="仿宋_GB2312" w:eastAsia="仿宋_GB2312" w:cs="仿宋_GB2312"/>
                <w:color w:val="auto"/>
                <w:spacing w:val="-20"/>
                <w:sz w:val="28"/>
                <w:szCs w:val="28"/>
              </w:rPr>
              <w:t>.5.5</w:t>
            </w:r>
            <w:r>
              <w:rPr>
                <w:rFonts w:hint="eastAsia" w:ascii="仿宋_GB2312" w:hAnsi="仿宋_GB2312" w:eastAsia="仿宋_GB2312" w:cs="仿宋_GB2312"/>
                <w:color w:val="auto"/>
                <w:spacing w:val="-20"/>
                <w:sz w:val="28"/>
                <w:szCs w:val="28"/>
              </w:rPr>
              <w:t>、</w:t>
            </w:r>
            <w:r>
              <w:rPr>
                <w:rFonts w:ascii="仿宋_GB2312" w:hAnsi="仿宋_GB2312" w:eastAsia="仿宋_GB2312" w:cs="仿宋_GB2312"/>
                <w:color w:val="auto"/>
                <w:spacing w:val="-20"/>
                <w:sz w:val="28"/>
                <w:szCs w:val="28"/>
              </w:rPr>
              <w:t>5.5.6</w:t>
            </w:r>
          </w:p>
        </w:tc>
        <w:tc>
          <w:tcPr>
            <w:tcW w:w="558" w:type="pct"/>
            <w:vAlign w:val="center"/>
          </w:tcPr>
          <w:p>
            <w:pPr>
              <w:widowControl/>
              <w:spacing w:line="460" w:lineRule="exact"/>
              <w:jc w:val="center"/>
              <w:rPr>
                <w:rFonts w:ascii="黑体" w:hAnsi="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8</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项目监理机构应督促施工相关单位按照行政主管部门以及本项目监理机构发出的安全隐患整改通知落实整改。</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《建设工程安全生产管理条例》第十四条、《建设工程监理规范》</w:t>
            </w:r>
            <w:r>
              <w:rPr>
                <w:rFonts w:ascii="仿宋_GB2312" w:hAnsi="仿宋_GB2312" w:eastAsia="仿宋_GB2312" w:cs="仿宋_GB2312"/>
                <w:color w:val="auto"/>
                <w:spacing w:val="-20"/>
                <w:sz w:val="28"/>
                <w:szCs w:val="28"/>
              </w:rPr>
              <w:t>5.5.6</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9</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项目监理机构在实施监理过程中，发现工程存在安全事故隐患的，应签发监理通知单，责令施工单位限期整改；存在重大安全隐患时，应责令施工单位暂停施工，并及时报告建设单位；发现安全事故隐患严重且施工单位拒不整改或者不停止施工的，及时向政府主管部门报告。</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《建设工程安全生产管理条例》第十四条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10</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监理单位发现施工单位未按照专项施工方案实施，应要求其整改或者停工的；施工单位拒不整改或者不停止施工时，应向建设单位和工程所在地住房城乡建设主管部门报告。</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《危险性较大的分部分项工程安全管理规定》第三十六条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6" w:type="pct"/>
            <w:vAlign w:val="center"/>
          </w:tcPr>
          <w:p>
            <w:pPr>
              <w:widowControl/>
              <w:spacing w:line="46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11</w:t>
            </w:r>
          </w:p>
        </w:tc>
        <w:tc>
          <w:tcPr>
            <w:tcW w:w="2451"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应审核建筑起重机械特种设备制造许可证、产品合格证、制造监督检验证明、备案证明等文件，应审核建筑起重机械安装单位、使用单位的资质证书、安全生产许可证和特种作业人员的特种作业操作资格证书未监督安装单位执行建筑起重机械安装、拆卸工程专项施工方案情况。</w:t>
            </w:r>
          </w:p>
        </w:tc>
        <w:tc>
          <w:tcPr>
            <w:tcW w:w="1733" w:type="pct"/>
            <w:vAlign w:val="center"/>
          </w:tcPr>
          <w:p>
            <w:pPr>
              <w:widowControl/>
              <w:spacing w:line="46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《建筑起重机械安全监督管理规定 》第二十二条</w:t>
            </w:r>
          </w:p>
        </w:tc>
        <w:tc>
          <w:tcPr>
            <w:tcW w:w="558" w:type="pct"/>
            <w:vAlign w:val="center"/>
          </w:tcPr>
          <w:p>
            <w:pPr>
              <w:widowControl/>
              <w:spacing w:line="46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bl>
    <w:p>
      <w:pPr>
        <w:spacing w:line="580" w:lineRule="exact"/>
        <w:jc w:val="center"/>
        <w:rPr>
          <w:rFonts w:eastAsia="方正小标宋简体"/>
          <w:bCs/>
          <w:color w:val="auto"/>
          <w:sz w:val="36"/>
          <w:szCs w:val="36"/>
        </w:rPr>
      </w:pPr>
      <w:r>
        <w:rPr>
          <w:rFonts w:hint="eastAsia" w:eastAsia="方正小标宋简体"/>
          <w:bCs/>
          <w:color w:val="auto"/>
          <w:sz w:val="36"/>
          <w:szCs w:val="36"/>
        </w:rPr>
        <w:t>四、扬尘监理行为</w:t>
      </w:r>
    </w:p>
    <w:tbl>
      <w:tblPr>
        <w:tblStyle w:val="8"/>
        <w:tblW w:w="51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6536"/>
        <w:gridCol w:w="462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8" w:type="dxa"/>
            <w:vAlign w:val="center"/>
          </w:tcPr>
          <w:p>
            <w:pPr>
              <w:widowControl w:val="0"/>
              <w:spacing w:line="580" w:lineRule="exact"/>
              <w:jc w:val="both"/>
              <w:rPr>
                <w:rFonts w:ascii="仿宋_GB2312" w:hAnsi="仿宋_GB2312" w:eastAsia="仿宋_GB2312" w:cs="仿宋_GB2312"/>
                <w:color w:val="auto"/>
                <w:spacing w:val="-20"/>
                <w:sz w:val="28"/>
                <w:szCs w:val="28"/>
              </w:rPr>
            </w:pPr>
            <w:r>
              <w:rPr>
                <w:rFonts w:hint="eastAsia" w:ascii="黑体" w:hAnsi="黑体" w:eastAsia="黑体" w:cs="黑体"/>
                <w:color w:val="auto"/>
                <w:sz w:val="24"/>
              </w:rPr>
              <w:t>序号</w:t>
            </w:r>
          </w:p>
        </w:tc>
        <w:tc>
          <w:tcPr>
            <w:tcW w:w="6536" w:type="dxa"/>
          </w:tcPr>
          <w:p>
            <w:pPr>
              <w:widowControl w:val="0"/>
              <w:spacing w:line="580" w:lineRule="exact"/>
              <w:jc w:val="center"/>
              <w:rPr>
                <w:rFonts w:ascii="仿宋_GB2312" w:hAnsi="仿宋_GB2312" w:eastAsia="仿宋_GB2312" w:cs="仿宋_GB2312"/>
                <w:color w:val="auto"/>
                <w:spacing w:val="-20"/>
                <w:sz w:val="28"/>
                <w:szCs w:val="28"/>
              </w:rPr>
            </w:pPr>
            <w:r>
              <w:rPr>
                <w:rFonts w:hint="eastAsia" w:ascii="黑体" w:hAnsi="黑体" w:eastAsia="黑体" w:cs="黑体"/>
                <w:color w:val="auto"/>
                <w:sz w:val="24"/>
              </w:rPr>
              <w:t>责任清单</w:t>
            </w:r>
          </w:p>
        </w:tc>
        <w:tc>
          <w:tcPr>
            <w:tcW w:w="4621" w:type="dxa"/>
          </w:tcPr>
          <w:p>
            <w:pPr>
              <w:widowControl w:val="0"/>
              <w:spacing w:line="580" w:lineRule="exact"/>
              <w:jc w:val="center"/>
              <w:rPr>
                <w:rFonts w:ascii="仿宋_GB2312" w:hAnsi="仿宋_GB2312" w:eastAsia="仿宋_GB2312" w:cs="仿宋_GB2312"/>
                <w:color w:val="auto"/>
                <w:spacing w:val="-20"/>
                <w:sz w:val="28"/>
                <w:szCs w:val="28"/>
              </w:rPr>
            </w:pPr>
            <w:r>
              <w:rPr>
                <w:rFonts w:hint="eastAsia" w:ascii="黑体" w:hAnsi="黑体" w:eastAsia="黑体" w:cs="黑体"/>
                <w:color w:val="auto"/>
                <w:sz w:val="24"/>
              </w:rPr>
              <w:t>法律、法规、规章、制度、规范等依据</w:t>
            </w:r>
          </w:p>
        </w:tc>
        <w:tc>
          <w:tcPr>
            <w:tcW w:w="1441" w:type="dxa"/>
          </w:tcPr>
          <w:p>
            <w:pPr>
              <w:widowControl w:val="0"/>
              <w:spacing w:line="580" w:lineRule="exact"/>
              <w:jc w:val="center"/>
              <w:rPr>
                <w:rFonts w:ascii="Times New Roman" w:hAnsi="Times New Roman"/>
                <w:color w:val="auto"/>
                <w:szCs w:val="21"/>
              </w:rPr>
            </w:pPr>
            <w:r>
              <w:rPr>
                <w:rFonts w:hint="eastAsia" w:ascii="黑体" w:hAnsi="黑体" w:eastAsia="黑体" w:cs="黑体"/>
                <w:color w:val="auto"/>
                <w:sz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88" w:type="dxa"/>
            <w:vAlign w:val="center"/>
          </w:tcPr>
          <w:p>
            <w:pPr>
              <w:widowControl/>
              <w:spacing w:after="0"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1</w:t>
            </w:r>
          </w:p>
        </w:tc>
        <w:tc>
          <w:tcPr>
            <w:tcW w:w="6536"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监理单位承担施工扬尘防治监理责任，应将施工扬尘防治纳入监理规划，并编制扬尘治理监理实施细则，明确扬尘防治监理措施。</w:t>
            </w:r>
          </w:p>
        </w:tc>
        <w:tc>
          <w:tcPr>
            <w:tcW w:w="4621"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山东省房屋建筑工地施工扬尘防治导则》（鲁建质安字〔2020〕8号）、《房屋建筑施工扬尘防治技术规程》(DB37T5252-2023)、《济南市人民政府办公厅关于印发济南市建设工程扬尘污染治理若干措施的通知》（济政办字〔2017〕1号）</w:t>
            </w:r>
          </w:p>
        </w:tc>
        <w:tc>
          <w:tcPr>
            <w:tcW w:w="1441" w:type="dxa"/>
            <w:vAlign w:val="center"/>
          </w:tcPr>
          <w:p>
            <w:pPr>
              <w:widowControl/>
              <w:spacing w:after="0" w:line="54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88" w:type="dxa"/>
            <w:vAlign w:val="center"/>
          </w:tcPr>
          <w:p>
            <w:pPr>
              <w:widowControl/>
              <w:spacing w:after="0"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2</w:t>
            </w:r>
          </w:p>
        </w:tc>
        <w:tc>
          <w:tcPr>
            <w:tcW w:w="6536"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监理单位应审批施工单位扬尘防治专项方案，将专项方案实施情况纳入日常检查巡查，督促施工单位落实扬尘防治方案各项防治措施。</w:t>
            </w:r>
          </w:p>
        </w:tc>
        <w:tc>
          <w:tcPr>
            <w:tcW w:w="4621"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山东省房屋建筑工地施工扬尘防治导则》（鲁建质安字〔2020〕8号）、《房屋建筑施工扬尘防治技术规程》(DB37T5252-2023)、《济南市人民政府办公厅关于印发济南市建设工程扬尘污染治理若干措施的通知》（济政办字〔2017〕1号）</w:t>
            </w:r>
          </w:p>
        </w:tc>
        <w:tc>
          <w:tcPr>
            <w:tcW w:w="1441" w:type="dxa"/>
            <w:vAlign w:val="center"/>
          </w:tcPr>
          <w:p>
            <w:pPr>
              <w:widowControl/>
              <w:spacing w:after="0" w:line="54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88" w:type="dxa"/>
            <w:vAlign w:val="center"/>
          </w:tcPr>
          <w:p>
            <w:pPr>
              <w:widowControl/>
              <w:spacing w:after="0" w:line="540" w:lineRule="exact"/>
              <w:jc w:val="center"/>
              <w:rPr>
                <w:rFonts w:ascii="仿宋_GB2312" w:hAnsi="仿宋_GB2312" w:eastAsia="仿宋_GB2312" w:cs="仿宋_GB2312"/>
                <w:color w:val="auto"/>
                <w:spacing w:val="-20"/>
                <w:sz w:val="28"/>
                <w:szCs w:val="28"/>
              </w:rPr>
            </w:pPr>
            <w:bookmarkStart w:id="0" w:name="_GoBack"/>
            <w:bookmarkEnd w:id="0"/>
            <w:r>
              <w:rPr>
                <w:rFonts w:hint="eastAsia" w:ascii="仿宋_GB2312" w:hAnsi="仿宋_GB2312" w:eastAsia="仿宋_GB2312" w:cs="仿宋_GB2312"/>
                <w:color w:val="auto"/>
                <w:spacing w:val="-20"/>
                <w:sz w:val="28"/>
                <w:szCs w:val="28"/>
              </w:rPr>
              <w:t>3</w:t>
            </w:r>
          </w:p>
        </w:tc>
        <w:tc>
          <w:tcPr>
            <w:tcW w:w="6536"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加强对施工现场扬尘防治情况的日常检查巡查，发现施工单位有违反扬尘防治要求或者未按专项方案落实扬尘防治措施的行为，应当要求施工单位予以整改，并对施工单位整改情况进行复查，做好记录。拒不改正的，要求停止施工，并及时报告建设单位和工程所在地住房建设主管部门。</w:t>
            </w:r>
          </w:p>
        </w:tc>
        <w:tc>
          <w:tcPr>
            <w:tcW w:w="4621"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山东省房屋建筑工地施工扬尘防治导则》（鲁建质安字〔2020〕8号）、《房屋建筑施工扬尘防治技术规程》(DB37T5252-2023)、《济南市人民政府办公厅关于印发济南市建设工程扬尘污染治理若干措施的通知》（济政办字〔2017〕1号）</w:t>
            </w:r>
          </w:p>
        </w:tc>
        <w:tc>
          <w:tcPr>
            <w:tcW w:w="1441" w:type="dxa"/>
            <w:vAlign w:val="center"/>
          </w:tcPr>
          <w:p>
            <w:pPr>
              <w:widowControl/>
              <w:spacing w:after="0" w:line="54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8" w:type="dxa"/>
            <w:vAlign w:val="center"/>
          </w:tcPr>
          <w:p>
            <w:pPr>
              <w:widowControl/>
              <w:spacing w:after="0"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4</w:t>
            </w:r>
          </w:p>
        </w:tc>
        <w:tc>
          <w:tcPr>
            <w:tcW w:w="6536"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建设单位未聘请监理单位的，建设单位应承担监理单位相应扬尘防治职责。</w:t>
            </w:r>
          </w:p>
        </w:tc>
        <w:tc>
          <w:tcPr>
            <w:tcW w:w="4621"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《房屋建筑施工扬尘防治技术规程》(DB37T5252-2023)</w:t>
            </w:r>
          </w:p>
        </w:tc>
        <w:tc>
          <w:tcPr>
            <w:tcW w:w="1441" w:type="dxa"/>
            <w:vAlign w:val="center"/>
          </w:tcPr>
          <w:p>
            <w:pPr>
              <w:widowControl/>
              <w:spacing w:after="0" w:line="54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8" w:type="dxa"/>
            <w:vAlign w:val="center"/>
          </w:tcPr>
          <w:p>
            <w:pPr>
              <w:widowControl/>
              <w:spacing w:after="0" w:line="540" w:lineRule="exact"/>
              <w:jc w:val="center"/>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5</w:t>
            </w:r>
          </w:p>
        </w:tc>
        <w:tc>
          <w:tcPr>
            <w:tcW w:w="6536"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监理单位建立资料:①施工现场扬尘防治检查记录②监理工程师整改通知单③施工单位问题整改报告④施工现场扬尘防治检查表。</w:t>
            </w:r>
          </w:p>
        </w:tc>
        <w:tc>
          <w:tcPr>
            <w:tcW w:w="4621" w:type="dxa"/>
            <w:vAlign w:val="center"/>
          </w:tcPr>
          <w:p>
            <w:pPr>
              <w:widowControl/>
              <w:spacing w:after="0" w:line="540" w:lineRule="exact"/>
              <w:jc w:val="both"/>
              <w:rPr>
                <w:rFonts w:ascii="仿宋_GB2312" w:hAnsi="仿宋_GB2312" w:eastAsia="仿宋_GB2312" w:cs="仿宋_GB2312"/>
                <w:color w:val="auto"/>
                <w:spacing w:val="-20"/>
                <w:sz w:val="28"/>
                <w:szCs w:val="28"/>
              </w:rPr>
            </w:pPr>
            <w:r>
              <w:rPr>
                <w:rFonts w:hint="eastAsia" w:ascii="仿宋_GB2312" w:hAnsi="仿宋_GB2312" w:eastAsia="仿宋_GB2312" w:cs="仿宋_GB2312"/>
                <w:color w:val="auto"/>
                <w:spacing w:val="-20"/>
                <w:sz w:val="28"/>
                <w:szCs w:val="28"/>
              </w:rPr>
              <w:t>《房屋建筑施工扬尘防治技术规程》(DB37T5252-2023)</w:t>
            </w:r>
          </w:p>
        </w:tc>
        <w:tc>
          <w:tcPr>
            <w:tcW w:w="1441" w:type="dxa"/>
            <w:vAlign w:val="center"/>
          </w:tcPr>
          <w:p>
            <w:pPr>
              <w:widowControl/>
              <w:spacing w:after="0" w:line="540" w:lineRule="exact"/>
              <w:jc w:val="center"/>
              <w:rPr>
                <w:rFonts w:ascii="黑体" w:hAnsi="黑体" w:eastAsia="黑体" w:cs="黑体"/>
                <w:color w:val="auto"/>
                <w:sz w:val="24"/>
              </w:rPr>
            </w:pPr>
            <w:r>
              <w:rPr>
                <w:rFonts w:hint="eastAsia" w:ascii="仿宋_GB2312" w:hAnsi="仿宋_GB2312" w:eastAsia="仿宋_GB2312" w:cs="仿宋_GB2312"/>
                <w:color w:val="auto"/>
                <w:szCs w:val="21"/>
              </w:rPr>
              <w:t>是</w:t>
            </w:r>
            <w:r>
              <w:rPr>
                <w:rFonts w:hint="eastAsia" w:ascii="Times New Roman" w:hAnsi="Times New Roman"/>
                <w:color w:val="auto"/>
                <w:szCs w:val="21"/>
              </w:rPr>
              <w:t>□</w:t>
            </w:r>
            <w:r>
              <w:rPr>
                <w:rFonts w:hint="eastAsia" w:ascii="仿宋_GB2312" w:hAnsi="仿宋_GB2312" w:eastAsia="仿宋_GB2312" w:cs="仿宋_GB2312"/>
                <w:color w:val="auto"/>
                <w:szCs w:val="21"/>
              </w:rPr>
              <w:t>否</w:t>
            </w:r>
            <w:r>
              <w:rPr>
                <w:rFonts w:hint="eastAsia" w:ascii="Times New Roman" w:hAnsi="Times New Roman"/>
                <w:color w:val="auto"/>
                <w:szCs w:val="21"/>
              </w:rPr>
              <w:t>□</w:t>
            </w:r>
          </w:p>
        </w:tc>
      </w:tr>
    </w:tbl>
    <w:p>
      <w:pPr>
        <w:spacing w:line="580" w:lineRule="exact"/>
        <w:rPr>
          <w:rFonts w:eastAsia="方正小标宋简体"/>
          <w:bCs/>
          <w:color w:val="auto"/>
          <w:sz w:val="36"/>
          <w:szCs w:val="36"/>
        </w:rPr>
      </w:pPr>
    </w:p>
    <w:p>
      <w:pPr>
        <w:spacing w:line="600" w:lineRule="exact"/>
        <w:jc w:val="both"/>
        <w:rPr>
          <w:color w:val="auto"/>
        </w:rPr>
      </w:pPr>
    </w:p>
    <w:sectPr>
      <w:footerReference r:id="rId5" w:type="default"/>
      <w:pgSz w:w="16838" w:h="11906" w:orient="landscape"/>
      <w:pgMar w:top="1587" w:right="2098" w:bottom="1531"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615FC"/>
    <w:multiLevelType w:val="singleLevel"/>
    <w:tmpl w:val="C32615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YTBiMzU0MWZlMGYzNGQwNzRkNjhkOWJlOTkxMDYifQ=="/>
    <w:docVar w:name="KSO_WPS_MARK_KEY" w:val="591673cf-c89a-4097-9441-4259ba9888eb"/>
  </w:docVars>
  <w:rsids>
    <w:rsidRoot w:val="7B4A43EA"/>
    <w:rsid w:val="00023E4A"/>
    <w:rsid w:val="0002623E"/>
    <w:rsid w:val="00040DFD"/>
    <w:rsid w:val="00044538"/>
    <w:rsid w:val="00054E58"/>
    <w:rsid w:val="0006257C"/>
    <w:rsid w:val="00073267"/>
    <w:rsid w:val="00075716"/>
    <w:rsid w:val="000824CA"/>
    <w:rsid w:val="000C5660"/>
    <w:rsid w:val="000D6121"/>
    <w:rsid w:val="000E23C5"/>
    <w:rsid w:val="000F6684"/>
    <w:rsid w:val="00106F30"/>
    <w:rsid w:val="00114825"/>
    <w:rsid w:val="001257B9"/>
    <w:rsid w:val="001344B5"/>
    <w:rsid w:val="00135E77"/>
    <w:rsid w:val="00171FA8"/>
    <w:rsid w:val="00174EF6"/>
    <w:rsid w:val="00180F92"/>
    <w:rsid w:val="00182CC8"/>
    <w:rsid w:val="00184DE4"/>
    <w:rsid w:val="001956BB"/>
    <w:rsid w:val="001959D0"/>
    <w:rsid w:val="001B01C9"/>
    <w:rsid w:val="001B30BF"/>
    <w:rsid w:val="001B6326"/>
    <w:rsid w:val="001B655C"/>
    <w:rsid w:val="001C31F1"/>
    <w:rsid w:val="001F3C8E"/>
    <w:rsid w:val="00213154"/>
    <w:rsid w:val="00216B9F"/>
    <w:rsid w:val="00243208"/>
    <w:rsid w:val="00282C9C"/>
    <w:rsid w:val="0028652A"/>
    <w:rsid w:val="002B3123"/>
    <w:rsid w:val="002B35E9"/>
    <w:rsid w:val="002B552C"/>
    <w:rsid w:val="002C6B73"/>
    <w:rsid w:val="002E2A50"/>
    <w:rsid w:val="002F1DC8"/>
    <w:rsid w:val="002F2185"/>
    <w:rsid w:val="00315057"/>
    <w:rsid w:val="00321E91"/>
    <w:rsid w:val="00341D55"/>
    <w:rsid w:val="00347AD0"/>
    <w:rsid w:val="00347BC4"/>
    <w:rsid w:val="00352BF1"/>
    <w:rsid w:val="003621F7"/>
    <w:rsid w:val="0036401E"/>
    <w:rsid w:val="003839C3"/>
    <w:rsid w:val="003849AF"/>
    <w:rsid w:val="003A43F6"/>
    <w:rsid w:val="003C2603"/>
    <w:rsid w:val="003C4661"/>
    <w:rsid w:val="003C7B95"/>
    <w:rsid w:val="003E2995"/>
    <w:rsid w:val="003F3224"/>
    <w:rsid w:val="00400BAF"/>
    <w:rsid w:val="00405303"/>
    <w:rsid w:val="00414568"/>
    <w:rsid w:val="00417E7D"/>
    <w:rsid w:val="00422929"/>
    <w:rsid w:val="00423524"/>
    <w:rsid w:val="00426AA8"/>
    <w:rsid w:val="00433E42"/>
    <w:rsid w:val="00437062"/>
    <w:rsid w:val="00447029"/>
    <w:rsid w:val="00460155"/>
    <w:rsid w:val="00463CA4"/>
    <w:rsid w:val="0047114C"/>
    <w:rsid w:val="00473785"/>
    <w:rsid w:val="0048063E"/>
    <w:rsid w:val="00484C82"/>
    <w:rsid w:val="004B4334"/>
    <w:rsid w:val="004F4282"/>
    <w:rsid w:val="004F577F"/>
    <w:rsid w:val="004F639D"/>
    <w:rsid w:val="00510EE9"/>
    <w:rsid w:val="005116E0"/>
    <w:rsid w:val="00512489"/>
    <w:rsid w:val="00522637"/>
    <w:rsid w:val="0052519E"/>
    <w:rsid w:val="00532542"/>
    <w:rsid w:val="00532B56"/>
    <w:rsid w:val="005645F8"/>
    <w:rsid w:val="00573A90"/>
    <w:rsid w:val="0059140E"/>
    <w:rsid w:val="005B73C3"/>
    <w:rsid w:val="005C02FA"/>
    <w:rsid w:val="005D4352"/>
    <w:rsid w:val="005E441F"/>
    <w:rsid w:val="00600AB4"/>
    <w:rsid w:val="006050F4"/>
    <w:rsid w:val="00620766"/>
    <w:rsid w:val="006278AA"/>
    <w:rsid w:val="00627A3B"/>
    <w:rsid w:val="00635FC0"/>
    <w:rsid w:val="00636B20"/>
    <w:rsid w:val="00650B95"/>
    <w:rsid w:val="00652171"/>
    <w:rsid w:val="00671B6E"/>
    <w:rsid w:val="00676132"/>
    <w:rsid w:val="00683694"/>
    <w:rsid w:val="00690B69"/>
    <w:rsid w:val="006B5527"/>
    <w:rsid w:val="006C0C8D"/>
    <w:rsid w:val="006C2592"/>
    <w:rsid w:val="006C5BED"/>
    <w:rsid w:val="006D0234"/>
    <w:rsid w:val="006D0F7C"/>
    <w:rsid w:val="006D2EF9"/>
    <w:rsid w:val="006D3FAB"/>
    <w:rsid w:val="00701220"/>
    <w:rsid w:val="00704B17"/>
    <w:rsid w:val="007054F6"/>
    <w:rsid w:val="00706E5A"/>
    <w:rsid w:val="00711C0F"/>
    <w:rsid w:val="00724234"/>
    <w:rsid w:val="00735552"/>
    <w:rsid w:val="00742E4C"/>
    <w:rsid w:val="00752D01"/>
    <w:rsid w:val="00753390"/>
    <w:rsid w:val="0076775F"/>
    <w:rsid w:val="00780519"/>
    <w:rsid w:val="0079490A"/>
    <w:rsid w:val="007A1D22"/>
    <w:rsid w:val="007A5429"/>
    <w:rsid w:val="007A581C"/>
    <w:rsid w:val="007A7EEC"/>
    <w:rsid w:val="007B03EB"/>
    <w:rsid w:val="007B1BF7"/>
    <w:rsid w:val="007B1E62"/>
    <w:rsid w:val="007B2D9A"/>
    <w:rsid w:val="007B5169"/>
    <w:rsid w:val="007B6718"/>
    <w:rsid w:val="007C55C0"/>
    <w:rsid w:val="007C6F34"/>
    <w:rsid w:val="007D0B79"/>
    <w:rsid w:val="007D3DA7"/>
    <w:rsid w:val="007F475B"/>
    <w:rsid w:val="00803C93"/>
    <w:rsid w:val="00814A32"/>
    <w:rsid w:val="008256D9"/>
    <w:rsid w:val="00832DA9"/>
    <w:rsid w:val="0085334C"/>
    <w:rsid w:val="00867F37"/>
    <w:rsid w:val="008864D4"/>
    <w:rsid w:val="00887381"/>
    <w:rsid w:val="00887AED"/>
    <w:rsid w:val="00890ECD"/>
    <w:rsid w:val="008D301F"/>
    <w:rsid w:val="008D63DB"/>
    <w:rsid w:val="008D721D"/>
    <w:rsid w:val="008E15DA"/>
    <w:rsid w:val="008E16A1"/>
    <w:rsid w:val="00900FC4"/>
    <w:rsid w:val="009075F3"/>
    <w:rsid w:val="00910E3B"/>
    <w:rsid w:val="00911F3D"/>
    <w:rsid w:val="009218AA"/>
    <w:rsid w:val="0094005B"/>
    <w:rsid w:val="009647C1"/>
    <w:rsid w:val="00981FB5"/>
    <w:rsid w:val="00985AD6"/>
    <w:rsid w:val="0099653F"/>
    <w:rsid w:val="009B1CD4"/>
    <w:rsid w:val="009B4430"/>
    <w:rsid w:val="009C250A"/>
    <w:rsid w:val="009C2C44"/>
    <w:rsid w:val="009C2D07"/>
    <w:rsid w:val="009D05E6"/>
    <w:rsid w:val="009D1D31"/>
    <w:rsid w:val="009E258E"/>
    <w:rsid w:val="00A12B0C"/>
    <w:rsid w:val="00A20237"/>
    <w:rsid w:val="00A24265"/>
    <w:rsid w:val="00A3635C"/>
    <w:rsid w:val="00A36CC2"/>
    <w:rsid w:val="00A37672"/>
    <w:rsid w:val="00A836DA"/>
    <w:rsid w:val="00A85A75"/>
    <w:rsid w:val="00A85AF4"/>
    <w:rsid w:val="00AA67B2"/>
    <w:rsid w:val="00AB4EAC"/>
    <w:rsid w:val="00AB7583"/>
    <w:rsid w:val="00AC2435"/>
    <w:rsid w:val="00AC2B84"/>
    <w:rsid w:val="00AC43AE"/>
    <w:rsid w:val="00AE015D"/>
    <w:rsid w:val="00AF33EC"/>
    <w:rsid w:val="00AF76EB"/>
    <w:rsid w:val="00B108F8"/>
    <w:rsid w:val="00B1720C"/>
    <w:rsid w:val="00B23F62"/>
    <w:rsid w:val="00B4100F"/>
    <w:rsid w:val="00B41C0E"/>
    <w:rsid w:val="00B429E5"/>
    <w:rsid w:val="00B451ED"/>
    <w:rsid w:val="00B514DD"/>
    <w:rsid w:val="00B554B0"/>
    <w:rsid w:val="00B81183"/>
    <w:rsid w:val="00B92001"/>
    <w:rsid w:val="00BA630F"/>
    <w:rsid w:val="00BB2888"/>
    <w:rsid w:val="00BD403F"/>
    <w:rsid w:val="00BE1FA0"/>
    <w:rsid w:val="00BE3ADE"/>
    <w:rsid w:val="00BE7456"/>
    <w:rsid w:val="00BE7BE8"/>
    <w:rsid w:val="00BF1E73"/>
    <w:rsid w:val="00C05CF2"/>
    <w:rsid w:val="00C07EC6"/>
    <w:rsid w:val="00C13B08"/>
    <w:rsid w:val="00C143A6"/>
    <w:rsid w:val="00C15035"/>
    <w:rsid w:val="00C2350A"/>
    <w:rsid w:val="00C24F56"/>
    <w:rsid w:val="00C27378"/>
    <w:rsid w:val="00C32072"/>
    <w:rsid w:val="00C40DC4"/>
    <w:rsid w:val="00C46142"/>
    <w:rsid w:val="00C50B48"/>
    <w:rsid w:val="00C9611F"/>
    <w:rsid w:val="00C97A07"/>
    <w:rsid w:val="00CA44FD"/>
    <w:rsid w:val="00CB1819"/>
    <w:rsid w:val="00CB38C4"/>
    <w:rsid w:val="00CE1C7F"/>
    <w:rsid w:val="00CE3E01"/>
    <w:rsid w:val="00CF2F98"/>
    <w:rsid w:val="00CF5BD7"/>
    <w:rsid w:val="00D01B51"/>
    <w:rsid w:val="00D03C28"/>
    <w:rsid w:val="00D067A2"/>
    <w:rsid w:val="00D157DF"/>
    <w:rsid w:val="00D33343"/>
    <w:rsid w:val="00D82C71"/>
    <w:rsid w:val="00D921D4"/>
    <w:rsid w:val="00D96DBA"/>
    <w:rsid w:val="00DE072B"/>
    <w:rsid w:val="00DE41E7"/>
    <w:rsid w:val="00DE429D"/>
    <w:rsid w:val="00DE7543"/>
    <w:rsid w:val="00DF62A7"/>
    <w:rsid w:val="00E028B2"/>
    <w:rsid w:val="00E05C53"/>
    <w:rsid w:val="00E06AEB"/>
    <w:rsid w:val="00E12582"/>
    <w:rsid w:val="00E24E31"/>
    <w:rsid w:val="00E31207"/>
    <w:rsid w:val="00E56F90"/>
    <w:rsid w:val="00E67041"/>
    <w:rsid w:val="00E67F5E"/>
    <w:rsid w:val="00E965E4"/>
    <w:rsid w:val="00EB746A"/>
    <w:rsid w:val="00ED622A"/>
    <w:rsid w:val="00EE10B5"/>
    <w:rsid w:val="00EF5281"/>
    <w:rsid w:val="00F00826"/>
    <w:rsid w:val="00F0262E"/>
    <w:rsid w:val="00F032B2"/>
    <w:rsid w:val="00F0335F"/>
    <w:rsid w:val="00F03D2B"/>
    <w:rsid w:val="00F04B0A"/>
    <w:rsid w:val="00F056C4"/>
    <w:rsid w:val="00F2099B"/>
    <w:rsid w:val="00F30299"/>
    <w:rsid w:val="00F36D0E"/>
    <w:rsid w:val="00F434D4"/>
    <w:rsid w:val="00F53393"/>
    <w:rsid w:val="00F72526"/>
    <w:rsid w:val="00F7277D"/>
    <w:rsid w:val="00F748A2"/>
    <w:rsid w:val="00F7718E"/>
    <w:rsid w:val="00F90A9C"/>
    <w:rsid w:val="00F92604"/>
    <w:rsid w:val="00F93061"/>
    <w:rsid w:val="00FA17A8"/>
    <w:rsid w:val="00FB720D"/>
    <w:rsid w:val="00FB7864"/>
    <w:rsid w:val="00FC30E5"/>
    <w:rsid w:val="00FC5B05"/>
    <w:rsid w:val="00FD056B"/>
    <w:rsid w:val="00FD5D58"/>
    <w:rsid w:val="00FD72F6"/>
    <w:rsid w:val="00FE71F1"/>
    <w:rsid w:val="02E92054"/>
    <w:rsid w:val="04486CC3"/>
    <w:rsid w:val="04B07736"/>
    <w:rsid w:val="056D55A3"/>
    <w:rsid w:val="058F1702"/>
    <w:rsid w:val="05A22EEF"/>
    <w:rsid w:val="05FA0E11"/>
    <w:rsid w:val="061340E1"/>
    <w:rsid w:val="06210E27"/>
    <w:rsid w:val="07926D47"/>
    <w:rsid w:val="07CC3071"/>
    <w:rsid w:val="07ED44BE"/>
    <w:rsid w:val="08055CAB"/>
    <w:rsid w:val="08670714"/>
    <w:rsid w:val="090D0C21"/>
    <w:rsid w:val="0A5951B2"/>
    <w:rsid w:val="0BF00A21"/>
    <w:rsid w:val="0D9F26FE"/>
    <w:rsid w:val="0F1C4CFA"/>
    <w:rsid w:val="11A12B25"/>
    <w:rsid w:val="13E729A1"/>
    <w:rsid w:val="166003DE"/>
    <w:rsid w:val="17326391"/>
    <w:rsid w:val="176A0A7A"/>
    <w:rsid w:val="17F92A0B"/>
    <w:rsid w:val="19E1658A"/>
    <w:rsid w:val="1D3F7112"/>
    <w:rsid w:val="1E080DEE"/>
    <w:rsid w:val="1E9C176D"/>
    <w:rsid w:val="1F521969"/>
    <w:rsid w:val="21717AB6"/>
    <w:rsid w:val="21936797"/>
    <w:rsid w:val="2247510B"/>
    <w:rsid w:val="241C63FF"/>
    <w:rsid w:val="24F9175D"/>
    <w:rsid w:val="24FD0BDF"/>
    <w:rsid w:val="25CD160D"/>
    <w:rsid w:val="26F507CC"/>
    <w:rsid w:val="2A9C3DF6"/>
    <w:rsid w:val="2B830B12"/>
    <w:rsid w:val="2C380EDE"/>
    <w:rsid w:val="2C870B22"/>
    <w:rsid w:val="2D673250"/>
    <w:rsid w:val="2D687FBF"/>
    <w:rsid w:val="2DD92C6B"/>
    <w:rsid w:val="2E310CF9"/>
    <w:rsid w:val="2E8D23D3"/>
    <w:rsid w:val="2F5922B5"/>
    <w:rsid w:val="318D7C9D"/>
    <w:rsid w:val="321F6558"/>
    <w:rsid w:val="32221084"/>
    <w:rsid w:val="3248142F"/>
    <w:rsid w:val="3278560E"/>
    <w:rsid w:val="32DA4A67"/>
    <w:rsid w:val="32EF7717"/>
    <w:rsid w:val="32F56799"/>
    <w:rsid w:val="333A6BDB"/>
    <w:rsid w:val="34EB7FB3"/>
    <w:rsid w:val="379707FA"/>
    <w:rsid w:val="388A1D3C"/>
    <w:rsid w:val="392E2005"/>
    <w:rsid w:val="3A393E0F"/>
    <w:rsid w:val="3A6A7475"/>
    <w:rsid w:val="3AAD1DA7"/>
    <w:rsid w:val="3D68584E"/>
    <w:rsid w:val="3D777467"/>
    <w:rsid w:val="405961D5"/>
    <w:rsid w:val="40A5768F"/>
    <w:rsid w:val="433429C6"/>
    <w:rsid w:val="443E670D"/>
    <w:rsid w:val="449A25CB"/>
    <w:rsid w:val="45D64208"/>
    <w:rsid w:val="482F1EF9"/>
    <w:rsid w:val="48E3604A"/>
    <w:rsid w:val="490E1F0B"/>
    <w:rsid w:val="49C750F1"/>
    <w:rsid w:val="49F75A1B"/>
    <w:rsid w:val="4A2F3EE7"/>
    <w:rsid w:val="4DD51249"/>
    <w:rsid w:val="4E0F6509"/>
    <w:rsid w:val="4E8774D2"/>
    <w:rsid w:val="4F334479"/>
    <w:rsid w:val="4FAF5E25"/>
    <w:rsid w:val="4FC21E28"/>
    <w:rsid w:val="4FE87FA6"/>
    <w:rsid w:val="526A62BE"/>
    <w:rsid w:val="52E77A54"/>
    <w:rsid w:val="54F66FF5"/>
    <w:rsid w:val="565E4742"/>
    <w:rsid w:val="56940C42"/>
    <w:rsid w:val="5723097A"/>
    <w:rsid w:val="58117322"/>
    <w:rsid w:val="58CB22BD"/>
    <w:rsid w:val="5A10091E"/>
    <w:rsid w:val="5B9B327E"/>
    <w:rsid w:val="5BB3119B"/>
    <w:rsid w:val="5BBE156E"/>
    <w:rsid w:val="5C041352"/>
    <w:rsid w:val="5C757E78"/>
    <w:rsid w:val="5C78796F"/>
    <w:rsid w:val="5E0B0912"/>
    <w:rsid w:val="5ECF544B"/>
    <w:rsid w:val="5F3F29C6"/>
    <w:rsid w:val="61B351FF"/>
    <w:rsid w:val="65566374"/>
    <w:rsid w:val="65C923A1"/>
    <w:rsid w:val="66434D00"/>
    <w:rsid w:val="68831B76"/>
    <w:rsid w:val="691E189E"/>
    <w:rsid w:val="6A1A7FA1"/>
    <w:rsid w:val="6A2C5ABD"/>
    <w:rsid w:val="6A6D5355"/>
    <w:rsid w:val="6A8A7C98"/>
    <w:rsid w:val="6E8A315D"/>
    <w:rsid w:val="6ED053E9"/>
    <w:rsid w:val="70AC7F4E"/>
    <w:rsid w:val="72212F1C"/>
    <w:rsid w:val="74474A3D"/>
    <w:rsid w:val="75E52B7B"/>
    <w:rsid w:val="784B763F"/>
    <w:rsid w:val="78C1260E"/>
    <w:rsid w:val="7A5213A8"/>
    <w:rsid w:val="7ADF1D64"/>
    <w:rsid w:val="7B4A43EA"/>
    <w:rsid w:val="7B571F3B"/>
    <w:rsid w:val="7CF74574"/>
    <w:rsid w:val="7EDE3AF1"/>
    <w:rsid w:val="7EFB2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Date"/>
    <w:basedOn w:val="1"/>
    <w:next w:val="1"/>
    <w:link w:val="15"/>
    <w:qFormat/>
    <w:uiPriority w:val="0"/>
    <w:pPr>
      <w:ind w:left="100" w:leftChars="2500"/>
    </w:pPr>
  </w:style>
  <w:style w:type="paragraph" w:styleId="4">
    <w:name w:val="footer"/>
    <w:basedOn w:val="1"/>
    <w:link w:val="18"/>
    <w:qFormat/>
    <w:uiPriority w:val="0"/>
    <w:pPr>
      <w:tabs>
        <w:tab w:val="center" w:pos="4153"/>
        <w:tab w:val="right" w:pos="8306"/>
      </w:tabs>
    </w:pPr>
    <w:rPr>
      <w:sz w:val="18"/>
      <w:szCs w:val="18"/>
    </w:rPr>
  </w:style>
  <w:style w:type="paragraph" w:styleId="5">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0" w:afterAutospacing="1"/>
    </w:pPr>
    <w:rPr>
      <w:rFonts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customStyle="1" w:styleId="12">
    <w:name w:val="一级标题"/>
    <w:basedOn w:val="13"/>
    <w:next w:val="13"/>
    <w:qFormat/>
    <w:uiPriority w:val="0"/>
    <w:pPr>
      <w:outlineLvl w:val="2"/>
    </w:pPr>
    <w:rPr>
      <w:rFonts w:eastAsia="黑体"/>
    </w:rPr>
  </w:style>
  <w:style w:type="paragraph" w:customStyle="1" w:styleId="13">
    <w:name w:val="公文主体"/>
    <w:basedOn w:val="1"/>
    <w:qFormat/>
    <w:uiPriority w:val="0"/>
    <w:pPr>
      <w:spacing w:line="580" w:lineRule="exact"/>
      <w:ind w:firstLine="200" w:firstLineChars="200"/>
    </w:pPr>
    <w:rPr>
      <w:rFonts w:eastAsia="仿宋_GB2312"/>
      <w:sz w:val="32"/>
    </w:rPr>
  </w:style>
  <w:style w:type="paragraph" w:customStyle="1" w:styleId="14">
    <w:name w:val="列出段落1"/>
    <w:basedOn w:val="1"/>
    <w:qFormat/>
    <w:uiPriority w:val="0"/>
    <w:pPr>
      <w:ind w:firstLine="420" w:firstLineChars="200"/>
    </w:pPr>
    <w:rPr>
      <w:rFonts w:ascii="Times New Roman" w:hAnsi="Times New Roman"/>
    </w:rPr>
  </w:style>
  <w:style w:type="character" w:customStyle="1" w:styleId="15">
    <w:name w:val="日期 Char"/>
    <w:basedOn w:val="9"/>
    <w:link w:val="3"/>
    <w:qFormat/>
    <w:uiPriority w:val="0"/>
    <w:rPr>
      <w:rFonts w:ascii="Tahoma" w:hAnsi="Tahoma" w:eastAsia="微软雅黑" w:cstheme="minorBidi"/>
      <w:sz w:val="22"/>
      <w:szCs w:val="22"/>
    </w:rPr>
  </w:style>
  <w:style w:type="character" w:styleId="16">
    <w:name w:val="Placeholder Text"/>
    <w:basedOn w:val="9"/>
    <w:unhideWhenUsed/>
    <w:qFormat/>
    <w:uiPriority w:val="99"/>
    <w:rPr>
      <w:color w:val="808080"/>
    </w:rPr>
  </w:style>
  <w:style w:type="character" w:customStyle="1" w:styleId="17">
    <w:name w:val="页眉 Char"/>
    <w:basedOn w:val="9"/>
    <w:link w:val="5"/>
    <w:qFormat/>
    <w:uiPriority w:val="0"/>
    <w:rPr>
      <w:rFonts w:ascii="Tahoma" w:hAnsi="Tahoma" w:eastAsia="微软雅黑" w:cstheme="minorBidi"/>
      <w:sz w:val="18"/>
      <w:szCs w:val="18"/>
    </w:rPr>
  </w:style>
  <w:style w:type="character" w:customStyle="1" w:styleId="18">
    <w:name w:val="页脚 Char"/>
    <w:basedOn w:val="9"/>
    <w:link w:val="4"/>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7C368-18CB-4691-AEE0-85BDFBE91AB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7038</Words>
  <Characters>7287</Characters>
  <Lines>54</Lines>
  <Paragraphs>15</Paragraphs>
  <TotalTime>11</TotalTime>
  <ScaleCrop>false</ScaleCrop>
  <LinksUpToDate>false</LinksUpToDate>
  <CharactersWithSpaces>7322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2023-12-29T01:02:00Z</dcterms:created>
  <dc:creator>刘明</dc:creator>
  <cp:lastModifiedBy>桑海燕</cp:lastModifiedBy>
  <cp:lastPrinted>2023-12-29T06:40:00Z</cp:lastPrinted>
  <dcterms:modified xsi:type="dcterms:W3CDTF">2023-12-29T07:28:02Z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E8DDCF4FE0B9489E9D5EA01D6993A4C0_13</vt:lpwstr>
  </property>
</Properties>
</file>